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98" w:rsidRDefault="00605698" w:rsidP="00C215C7">
      <w:pPr>
        <w:pStyle w:val="ConsPlusNormal"/>
        <w:ind w:firstLine="0"/>
        <w:jc w:val="right"/>
        <w:rPr>
          <w:rFonts w:ascii="Times New Roman" w:hAnsi="Times New Roman" w:cs="Times New Roman"/>
          <w:sz w:val="28"/>
          <w:szCs w:val="28"/>
        </w:rPr>
      </w:pPr>
      <w:bookmarkStart w:id="0" w:name="_GoBack"/>
      <w:bookmarkEnd w:id="0"/>
    </w:p>
    <w:p w:rsidR="00605698" w:rsidRDefault="00275BE8" w:rsidP="00A75B4F">
      <w:pPr>
        <w:ind w:firstLine="0"/>
        <w:jc w:val="center"/>
        <w:rPr>
          <w:rFonts w:ascii="Times New Roman" w:hAnsi="Times New Roman"/>
          <w:sz w:val="28"/>
          <w:szCs w:val="28"/>
        </w:rPr>
      </w:pPr>
      <w:r>
        <w:rPr>
          <w:rFonts w:ascii="Times New Roman" w:hAnsi="Times New Roman"/>
          <w:noProof/>
          <w:sz w:val="28"/>
          <w:szCs w:val="28"/>
        </w:rPr>
        <w:drawing>
          <wp:inline distT="0" distB="0" distL="0" distR="0">
            <wp:extent cx="4341495" cy="32600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495" cy="3260090"/>
                    </a:xfrm>
                    <a:prstGeom prst="rect">
                      <a:avLst/>
                    </a:prstGeom>
                    <a:noFill/>
                    <a:ln>
                      <a:noFill/>
                    </a:ln>
                  </pic:spPr>
                </pic:pic>
              </a:graphicData>
            </a:graphic>
          </wp:inline>
        </w:drawing>
      </w:r>
    </w:p>
    <w:p w:rsidR="00605698" w:rsidRDefault="00605698" w:rsidP="00C215C7">
      <w:pPr>
        <w:ind w:firstLine="0"/>
        <w:rPr>
          <w:rFonts w:ascii="Times New Roman" w:hAnsi="Times New Roman"/>
          <w:sz w:val="28"/>
          <w:szCs w:val="28"/>
        </w:rPr>
      </w:pPr>
    </w:p>
    <w:p w:rsidR="00605698" w:rsidRPr="00A75B4F" w:rsidRDefault="00605698" w:rsidP="00A75B4F">
      <w:pPr>
        <w:pStyle w:val="ConsPlusNormal"/>
        <w:spacing w:line="420" w:lineRule="exact"/>
        <w:ind w:firstLine="0"/>
        <w:jc w:val="center"/>
        <w:rPr>
          <w:rFonts w:ascii="Times New Roman"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605698" w:rsidRPr="00C215C7" w:rsidRDefault="00605698"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Pr>
          <w:rFonts w:ascii="Times New Roman" w:hAnsi="Times New Roman" w:cs="Times New Roman"/>
          <w:i/>
          <w:sz w:val="24"/>
          <w:szCs w:val="28"/>
        </w:rPr>
        <w:t>.</w:t>
      </w:r>
    </w:p>
    <w:p w:rsidR="00605698" w:rsidRPr="00814EAA" w:rsidRDefault="00605698" w:rsidP="00FB1AF5">
      <w:pPr>
        <w:autoSpaceDE w:val="0"/>
        <w:autoSpaceDN w:val="0"/>
        <w:adjustRightInd w:val="0"/>
        <w:rPr>
          <w:rFonts w:ascii="Times New Roman" w:hAnsi="Times New Roman"/>
          <w:sz w:val="28"/>
          <w:szCs w:val="28"/>
        </w:rPr>
      </w:pPr>
    </w:p>
    <w:p w:rsidR="00605698" w:rsidRDefault="00605698" w:rsidP="00C215C7">
      <w:pPr>
        <w:pStyle w:val="aa"/>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605698" w:rsidRPr="00206B3D" w:rsidRDefault="00605698" w:rsidP="00C215C7">
      <w:pPr>
        <w:pStyle w:val="aa"/>
        <w:autoSpaceDE w:val="0"/>
        <w:autoSpaceDN w:val="0"/>
        <w:adjustRightInd w:val="0"/>
        <w:ind w:left="0" w:firstLine="0"/>
        <w:jc w:val="center"/>
        <w:rPr>
          <w:rFonts w:ascii="Times New Roman" w:hAnsi="Times New Roman"/>
          <w:sz w:val="28"/>
          <w:szCs w:val="28"/>
        </w:rPr>
      </w:pP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1. Гражданский кодекс Российской Федерации</w:t>
      </w:r>
      <w:r>
        <w:rPr>
          <w:rStyle w:val="af"/>
          <w:rFonts w:ascii="Times New Roman" w:hAnsi="Times New Roman"/>
          <w:sz w:val="28"/>
          <w:szCs w:val="28"/>
        </w:rPr>
        <w:footnoteReference w:id="1"/>
      </w:r>
      <w:r w:rsidRPr="00A62A1B">
        <w:rPr>
          <w:rFonts w:ascii="Times New Roman" w:hAnsi="Times New Roman"/>
          <w:sz w:val="28"/>
          <w:szCs w:val="28"/>
        </w:rPr>
        <w:t xml:space="preserve"> </w:t>
      </w:r>
      <w:r w:rsidRPr="007E24A7">
        <w:rPr>
          <w:rFonts w:ascii="Times New Roman" w:hAnsi="Times New Roman"/>
          <w:b/>
          <w:sz w:val="28"/>
          <w:szCs w:val="28"/>
        </w:rPr>
        <w:t>не допускает дарение</w:t>
      </w:r>
      <w:r>
        <w:rPr>
          <w:rFonts w:ascii="Times New Roman" w:hAnsi="Times New Roman"/>
          <w:sz w:val="28"/>
          <w:szCs w:val="28"/>
        </w:rPr>
        <w:t xml:space="preserve"> подарков </w:t>
      </w:r>
      <w:r w:rsidRPr="004F4892">
        <w:rPr>
          <w:rFonts w:ascii="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sz w:val="28"/>
          <w:szCs w:val="28"/>
        </w:rPr>
        <w:t xml:space="preserve"> (за исключением подарков, </w:t>
      </w:r>
      <w:r w:rsidRPr="004F4892">
        <w:rPr>
          <w:rFonts w:ascii="Times New Roman" w:hAnsi="Times New Roman"/>
          <w:sz w:val="28"/>
          <w:szCs w:val="28"/>
        </w:rPr>
        <w:t>стоимость которых не превышает трех тысяч рублей</w:t>
      </w:r>
      <w:r>
        <w:rPr>
          <w:rFonts w:ascii="Times New Roman" w:hAnsi="Times New Roman"/>
          <w:sz w:val="28"/>
          <w:szCs w:val="28"/>
        </w:rPr>
        <w:t>).</w:t>
      </w:r>
    </w:p>
    <w:p w:rsidR="00605698" w:rsidRDefault="00605698" w:rsidP="004F4892">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hAnsi="Times New Roman"/>
          <w:sz w:val="28"/>
          <w:szCs w:val="28"/>
        </w:rPr>
        <w:t xml:space="preserve">должности </w:t>
      </w:r>
      <w:r w:rsidRPr="004F4892">
        <w:rPr>
          <w:rFonts w:ascii="Times New Roman" w:hAnsi="Times New Roman"/>
          <w:sz w:val="28"/>
          <w:szCs w:val="28"/>
        </w:rPr>
        <w:t>государственн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w:t>
      </w:r>
      <w:r w:rsidRPr="004F4892">
        <w:rPr>
          <w:rFonts w:ascii="Times New Roman" w:hAnsi="Times New Roman"/>
          <w:sz w:val="28"/>
          <w:szCs w:val="28"/>
        </w:rPr>
        <w:t>муниципальн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в </w:t>
      </w:r>
      <w:r w:rsidRPr="004F4892">
        <w:rPr>
          <w:rFonts w:ascii="Times New Roman" w:hAnsi="Times New Roman"/>
          <w:sz w:val="28"/>
          <w:szCs w:val="28"/>
        </w:rPr>
        <w:t>Банк</w:t>
      </w:r>
      <w:r>
        <w:rPr>
          <w:rFonts w:ascii="Times New Roman" w:hAnsi="Times New Roman"/>
          <w:sz w:val="28"/>
          <w:szCs w:val="28"/>
        </w:rPr>
        <w:t>е</w:t>
      </w:r>
      <w:r w:rsidRPr="004F4892">
        <w:rPr>
          <w:rFonts w:ascii="Times New Roman" w:hAnsi="Times New Roman"/>
          <w:sz w:val="28"/>
          <w:szCs w:val="28"/>
        </w:rPr>
        <w:t xml:space="preserve"> России</w:t>
      </w:r>
      <w:r>
        <w:rPr>
          <w:rFonts w:ascii="Times New Roman"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w:t>
      </w:r>
      <w:r w:rsidRPr="004F4892">
        <w:rPr>
          <w:rFonts w:ascii="Times New Roman" w:hAnsi="Times New Roman"/>
          <w:sz w:val="28"/>
          <w:szCs w:val="28"/>
        </w:rPr>
        <w:t>лицам</w:t>
      </w:r>
      <w:r>
        <w:rPr>
          <w:rFonts w:ascii="Times New Roman" w:hAnsi="Times New Roman"/>
          <w:sz w:val="28"/>
          <w:szCs w:val="28"/>
        </w:rPr>
        <w:t xml:space="preserve">и и работниками отдельных организаций (далее также – должностные лица) </w:t>
      </w:r>
      <w:r w:rsidRPr="00A62A1B">
        <w:rPr>
          <w:rFonts w:ascii="Times New Roman" w:hAnsi="Times New Roman"/>
          <w:sz w:val="28"/>
          <w:szCs w:val="28"/>
        </w:rPr>
        <w:t xml:space="preserve">в связи с выполнением должностных </w:t>
      </w:r>
      <w:r>
        <w:rPr>
          <w:rFonts w:ascii="Times New Roman" w:hAnsi="Times New Roman"/>
          <w:sz w:val="28"/>
          <w:szCs w:val="28"/>
        </w:rPr>
        <w:t xml:space="preserve">(трудовых) </w:t>
      </w:r>
      <w:r w:rsidRPr="00A62A1B">
        <w:rPr>
          <w:rFonts w:ascii="Times New Roman" w:hAnsi="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w:t>
      </w:r>
      <w:r w:rsidRPr="00A62A1B">
        <w:rPr>
          <w:rFonts w:ascii="Times New Roman" w:hAnsi="Times New Roman"/>
          <w:sz w:val="28"/>
          <w:szCs w:val="28"/>
        </w:rPr>
        <w:t xml:space="preserve">. Применительно к настоящим </w:t>
      </w:r>
      <w:r>
        <w:rPr>
          <w:rFonts w:ascii="Times New Roman" w:hAnsi="Times New Roman"/>
          <w:sz w:val="28"/>
          <w:szCs w:val="28"/>
        </w:rPr>
        <w:t>разъяснениям</w:t>
      </w:r>
      <w:r w:rsidRPr="00A62A1B">
        <w:rPr>
          <w:rFonts w:ascii="Times New Roman" w:hAnsi="Times New Roman"/>
          <w:sz w:val="28"/>
          <w:szCs w:val="28"/>
        </w:rPr>
        <w:t>:</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xml:space="preserve">.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w:t>
      </w:r>
      <w:r w:rsidRPr="00A62A1B">
        <w:rPr>
          <w:rFonts w:ascii="Times New Roman" w:hAnsi="Times New Roman"/>
          <w:sz w:val="28"/>
          <w:szCs w:val="28"/>
        </w:rPr>
        <w:lastRenderedPageBreak/>
        <w:t>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605698" w:rsidRPr="00A62A1B" w:rsidRDefault="00605698" w:rsidP="00557787">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05698"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605698" w:rsidRPr="00A62A1B"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605698" w:rsidRPr="004344C3" w:rsidRDefault="00605698" w:rsidP="004344C3">
      <w:pPr>
        <w:tabs>
          <w:tab w:val="left" w:pos="993"/>
          <w:tab w:val="left" w:pos="1276"/>
        </w:tabs>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605698" w:rsidRPr="004344C3" w:rsidRDefault="00605698" w:rsidP="004344C3">
      <w:pPr>
        <w:autoSpaceDE w:val="0"/>
        <w:autoSpaceDN w:val="0"/>
        <w:adjustRightInd w:val="0"/>
        <w:contextualSpacing/>
        <w:rPr>
          <w:rFonts w:ascii="Times New Roman" w:hAnsi="Times New Roman"/>
          <w:sz w:val="28"/>
          <w:szCs w:val="28"/>
        </w:rPr>
      </w:pP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605698" w:rsidRPr="00151206"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05698" w:rsidRPr="00151206"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605698" w:rsidRPr="00A060B9"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f"/>
          <w:rFonts w:ascii="Times New Roman" w:hAnsi="Times New Roman"/>
          <w:sz w:val="28"/>
          <w:szCs w:val="28"/>
        </w:rPr>
        <w:footnoteReference w:id="2"/>
      </w:r>
      <w:r w:rsidRPr="00A060B9">
        <w:rPr>
          <w:rFonts w:ascii="Times New Roman" w:hAnsi="Times New Roman"/>
          <w:sz w:val="28"/>
          <w:szCs w:val="28"/>
        </w:rPr>
        <w:t>;</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05698" w:rsidRPr="00852022"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Pr="00852022">
        <w:rPr>
          <w:rFonts w:ascii="Times New Roman" w:hAnsi="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sz w:val="28"/>
          <w:szCs w:val="28"/>
        </w:rPr>
        <w:br/>
        <w:t>(далее – постановление Правительства Российской Федерации № 1088).</w:t>
      </w:r>
    </w:p>
    <w:p w:rsidR="00605698" w:rsidRPr="00A060B9" w:rsidRDefault="00605698" w:rsidP="004344C3">
      <w:pPr>
        <w:pStyle w:val="aa"/>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
    <w:p w:rsidR="00605698" w:rsidRPr="004344C3" w:rsidRDefault="00605698" w:rsidP="004344C3">
      <w:pPr>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605698" w:rsidRPr="00B972D0" w:rsidRDefault="00605698" w:rsidP="00B972D0">
      <w:pPr>
        <w:tabs>
          <w:tab w:val="left" w:pos="993"/>
        </w:tabs>
        <w:autoSpaceDE w:val="0"/>
        <w:autoSpaceDN w:val="0"/>
        <w:adjustRightInd w:val="0"/>
        <w:rPr>
          <w:rFonts w:ascii="Times New Roman" w:hAnsi="Times New Roman"/>
          <w:sz w:val="28"/>
          <w:szCs w:val="28"/>
        </w:rPr>
      </w:pPr>
    </w:p>
    <w:p w:rsidR="00605698" w:rsidRPr="00A060B9" w:rsidRDefault="00605698"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Уведомление о получении подарка</w:t>
      </w:r>
    </w:p>
    <w:p w:rsidR="00605698" w:rsidRDefault="00605698"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r>
        <w:rPr>
          <w:rStyle w:val="af"/>
          <w:rFonts w:ascii="Times New Roman" w:hAnsi="Times New Roman"/>
          <w:sz w:val="28"/>
          <w:szCs w:val="28"/>
        </w:rPr>
        <w:footnoteReference w:id="3"/>
      </w:r>
      <w:r>
        <w:rPr>
          <w:rFonts w:ascii="Times New Roman" w:hAnsi="Times New Roman" w:cs="Times New Roman"/>
          <w:sz w:val="28"/>
          <w:szCs w:val="28"/>
        </w:rPr>
        <w:t>.</w:t>
      </w:r>
    </w:p>
    <w:p w:rsidR="00605698" w:rsidRPr="00A060B9" w:rsidRDefault="00605698"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w:t>
      </w:r>
      <w:r w:rsidRPr="00A060B9">
        <w:rPr>
          <w:rFonts w:ascii="Times New Roman" w:hAnsi="Times New Roman" w:cs="Times New Roman"/>
          <w:sz w:val="28"/>
          <w:szCs w:val="28"/>
        </w:rPr>
        <w:lastRenderedPageBreak/>
        <w:t>регистрируется в день его поступления.</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af"/>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 xml:space="preserve">пункты 1 и 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
    <w:p w:rsidR="00605698" w:rsidRPr="00A060B9" w:rsidRDefault="00605698"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f"/>
          <w:rFonts w:ascii="Times New Roman" w:hAnsi="Times New Roman"/>
          <w:sz w:val="28"/>
          <w:szCs w:val="28"/>
        </w:rPr>
        <w:footnoteReference w:id="5"/>
      </w:r>
      <w:r w:rsidRPr="00A060B9">
        <w:rPr>
          <w:rFonts w:ascii="Times New Roman" w:hAnsi="Times New Roman"/>
          <w:sz w:val="28"/>
          <w:szCs w:val="28"/>
        </w:rPr>
        <w:t>.</w:t>
      </w:r>
    </w:p>
    <w:p w:rsidR="00605698" w:rsidRPr="00A060B9" w:rsidRDefault="00605698" w:rsidP="00B972D0">
      <w:pPr>
        <w:pStyle w:val="aa"/>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w:t>
      </w:r>
      <w:r w:rsidRPr="00852022">
        <w:rPr>
          <w:rFonts w:ascii="Times New Roman" w:hAnsi="Times New Roman"/>
          <w:sz w:val="28"/>
          <w:szCs w:val="28"/>
        </w:rPr>
        <w:t>в пункте 18 настоящих разъяснений.</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f"/>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f"/>
          <w:rFonts w:ascii="Times New Roman" w:hAnsi="Times New Roman"/>
          <w:sz w:val="28"/>
          <w:szCs w:val="28"/>
        </w:rPr>
        <w:footnoteReference w:id="7"/>
      </w:r>
      <w:r w:rsidRPr="00A060B9">
        <w:rPr>
          <w:rFonts w:ascii="Times New Roman" w:hAnsi="Times New Roman"/>
          <w:sz w:val="28"/>
          <w:szCs w:val="28"/>
        </w:rPr>
        <w:t>.</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lastRenderedPageBreak/>
        <w:t>15</w:t>
      </w:r>
      <w:r w:rsidRPr="00A060B9">
        <w:rPr>
          <w:rFonts w:ascii="Times New Roman" w:hAnsi="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605698" w:rsidRPr="00A060B9" w:rsidRDefault="00605698" w:rsidP="00B972D0">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605698" w:rsidRPr="00151206" w:rsidRDefault="00605698" w:rsidP="00151206">
      <w:pPr>
        <w:rPr>
          <w:rFonts w:ascii="Times New Roman" w:hAnsi="Times New Roman"/>
          <w:sz w:val="28"/>
          <w:szCs w:val="28"/>
        </w:rPr>
      </w:pPr>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1" w:name="Par0"/>
      <w:bookmarkEnd w:id="1"/>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f"/>
          <w:rFonts w:ascii="Times New Roman" w:hAnsi="Times New Roman"/>
          <w:sz w:val="28"/>
          <w:szCs w:val="28"/>
        </w:rPr>
        <w:footnoteReference w:id="8"/>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f"/>
          <w:rFonts w:ascii="Times New Roman" w:hAnsi="Times New Roman"/>
          <w:sz w:val="28"/>
          <w:szCs w:val="28"/>
        </w:rPr>
        <w:footnoteReference w:id="9"/>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f"/>
          <w:rFonts w:ascii="Times New Roman" w:hAnsi="Times New Roman"/>
          <w:sz w:val="28"/>
          <w:szCs w:val="28"/>
        </w:rPr>
        <w:footnoteReference w:id="10"/>
      </w:r>
      <w:r w:rsidRPr="00A060B9">
        <w:rPr>
          <w:rFonts w:ascii="Times New Roman" w:hAnsi="Times New Roman"/>
          <w:sz w:val="28"/>
          <w:szCs w:val="28"/>
        </w:rPr>
        <w:t xml:space="preserve">. В целях обеспечения надлежащего учета к подарку, принятому на хранение, материально ответственное лицо </w:t>
      </w:r>
      <w:r w:rsidRPr="00A060B9">
        <w:rPr>
          <w:rFonts w:ascii="Times New Roman" w:hAnsi="Times New Roman"/>
          <w:sz w:val="28"/>
          <w:szCs w:val="28"/>
        </w:rPr>
        <w:lastRenderedPageBreak/>
        <w:t>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в пункте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af"/>
          <w:rFonts w:ascii="Times New Roman" w:hAnsi="Times New Roman"/>
          <w:sz w:val="28"/>
          <w:szCs w:val="28"/>
        </w:rPr>
        <w:footnoteReference w:id="11"/>
      </w:r>
      <w:r w:rsidRPr="00A060B9">
        <w:rPr>
          <w:rFonts w:ascii="Times New Roman" w:hAnsi="Times New Roman"/>
          <w:sz w:val="28"/>
          <w:szCs w:val="28"/>
        </w:rPr>
        <w:t>.</w:t>
      </w:r>
    </w:p>
    <w:p w:rsidR="00605698" w:rsidRPr="00852022"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f"/>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605698" w:rsidRPr="00A060B9" w:rsidRDefault="00605698"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605698" w:rsidRPr="00A060B9" w:rsidRDefault="00605698" w:rsidP="00A060B9">
      <w:pPr>
        <w:pStyle w:val="aa"/>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605698" w:rsidRPr="00A060B9" w:rsidRDefault="00605698" w:rsidP="00A060B9">
      <w:pPr>
        <w:tabs>
          <w:tab w:val="left" w:pos="284"/>
          <w:tab w:val="left" w:pos="993"/>
        </w:tabs>
        <w:rPr>
          <w:rFonts w:ascii="Times New Roman" w:hAnsi="Times New Roman"/>
          <w:sz w:val="28"/>
          <w:szCs w:val="28"/>
        </w:rPr>
      </w:pPr>
      <w:r w:rsidRPr="00A060B9">
        <w:rPr>
          <w:rFonts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p>
    <w:p w:rsidR="00605698" w:rsidRPr="00A060B9" w:rsidRDefault="00605698" w:rsidP="00A060B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605698" w:rsidRPr="00A060B9" w:rsidRDefault="00605698"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f"/>
          <w:rFonts w:ascii="Times New Roman" w:hAnsi="Times New Roman"/>
          <w:sz w:val="28"/>
          <w:szCs w:val="28"/>
        </w:rPr>
        <w:footnoteReference w:id="13"/>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w:t>
      </w:r>
      <w:r w:rsidRPr="00A060B9">
        <w:rPr>
          <w:rFonts w:ascii="Times New Roman" w:hAnsi="Times New Roman"/>
          <w:sz w:val="28"/>
          <w:szCs w:val="28"/>
        </w:rPr>
        <w:lastRenderedPageBreak/>
        <w:t xml:space="preserve">которых предусмотрено пунктами 5 и 6 постановления Правительства Российской Федерации № 10).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f"/>
          <w:rFonts w:ascii="Times New Roman" w:hAnsi="Times New Roman"/>
          <w:sz w:val="28"/>
          <w:szCs w:val="28"/>
        </w:rPr>
        <w:footnoteReference w:id="14"/>
      </w:r>
      <w:r w:rsidRPr="00A060B9">
        <w:rPr>
          <w:rFonts w:ascii="Times New Roman" w:hAnsi="Times New Roman"/>
          <w:sz w:val="28"/>
          <w:szCs w:val="28"/>
        </w:rPr>
        <w:t>.</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f"/>
          <w:rFonts w:ascii="Times New Roman" w:hAnsi="Times New Roman"/>
          <w:sz w:val="28"/>
          <w:szCs w:val="28"/>
        </w:rPr>
        <w:footnoteReference w:id="15"/>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605698" w:rsidRPr="00A060B9" w:rsidRDefault="00605698"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af"/>
          <w:rFonts w:ascii="Times New Roman" w:hAnsi="Times New Roman"/>
          <w:sz w:val="28"/>
          <w:szCs w:val="28"/>
        </w:rPr>
        <w:footnoteReference w:id="16"/>
      </w:r>
      <w:r w:rsidRPr="00A060B9">
        <w:rPr>
          <w:rFonts w:ascii="Times New Roman" w:hAnsi="Times New Roman"/>
          <w:sz w:val="28"/>
          <w:szCs w:val="28"/>
        </w:rPr>
        <w:t>.</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05698" w:rsidRPr="00A060B9" w:rsidRDefault="00605698"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605698" w:rsidRPr="00A060B9" w:rsidRDefault="00605698"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af"/>
          <w:rFonts w:ascii="Times New Roman" w:hAnsi="Times New Roman"/>
          <w:sz w:val="28"/>
          <w:szCs w:val="28"/>
        </w:rPr>
        <w:footnoteReference w:id="17"/>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af"/>
          <w:rFonts w:ascii="Times New Roman" w:hAnsi="Times New Roman"/>
          <w:sz w:val="28"/>
          <w:szCs w:val="28"/>
        </w:rPr>
        <w:footnoteReference w:id="18"/>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w:t>
      </w:r>
      <w:r w:rsidRPr="00A060B9">
        <w:rPr>
          <w:rFonts w:ascii="Times New Roman" w:hAnsi="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f"/>
          <w:rFonts w:ascii="Times New Roman" w:hAnsi="Times New Roman"/>
          <w:sz w:val="28"/>
          <w:szCs w:val="28"/>
        </w:rPr>
        <w:footnoteReference w:id="19"/>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af"/>
          <w:rFonts w:ascii="Times New Roman" w:hAnsi="Times New Roman"/>
          <w:sz w:val="28"/>
          <w:szCs w:val="28"/>
        </w:rPr>
        <w:footnoteReference w:id="20"/>
      </w:r>
      <w:r w:rsidRPr="00A060B9">
        <w:rPr>
          <w:rFonts w:ascii="Times New Roman" w:hAnsi="Times New Roman" w:cs="Times New Roman"/>
          <w:sz w:val="28"/>
          <w:szCs w:val="28"/>
        </w:rPr>
        <w:t xml:space="preserve">. </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1</w:t>
      </w:r>
      <w:r w:rsidRPr="00A060B9">
        <w:rPr>
          <w:rFonts w:ascii="Times New Roman" w:hAnsi="Times New Roman"/>
          <w:sz w:val="28"/>
          <w:szCs w:val="28"/>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Pr="00A060B9">
        <w:rPr>
          <w:rFonts w:ascii="Times New Roman" w:hAnsi="Times New Roman"/>
          <w:sz w:val="28"/>
          <w:szCs w:val="28"/>
        </w:rPr>
        <w:lastRenderedPageBreak/>
        <w:t>лиц (статья 19.7.12. Кодекса Российской Федерации об административных правонарушениях).</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05698" w:rsidRPr="00A060B9" w:rsidRDefault="00605698" w:rsidP="00A060B9">
      <w:pPr>
        <w:widowControl w:val="0"/>
        <w:tabs>
          <w:tab w:val="left" w:pos="993"/>
          <w:tab w:val="left" w:pos="1134"/>
          <w:tab w:val="left" w:pos="1843"/>
        </w:tabs>
        <w:autoSpaceDE w:val="0"/>
        <w:autoSpaceDN w:val="0"/>
        <w:adjustRightInd w:val="0"/>
        <w:rPr>
          <w:rFonts w:ascii="Times New Roman" w:hAnsi="Times New Roman"/>
          <w:sz w:val="28"/>
          <w:szCs w:val="28"/>
        </w:rPr>
      </w:pPr>
    </w:p>
    <w:sectPr w:rsidR="00605698"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98" w:rsidRDefault="00D65198" w:rsidP="00020BF3">
      <w:r>
        <w:separator/>
      </w:r>
    </w:p>
  </w:endnote>
  <w:endnote w:type="continuationSeparator" w:id="0">
    <w:p w:rsidR="00D65198" w:rsidRDefault="00D6519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98" w:rsidRDefault="00D65198" w:rsidP="00020BF3">
      <w:r>
        <w:separator/>
      </w:r>
    </w:p>
  </w:footnote>
  <w:footnote w:type="continuationSeparator" w:id="0">
    <w:p w:rsidR="00D65198" w:rsidRDefault="00D65198" w:rsidP="00020BF3">
      <w:r>
        <w:continuationSeparator/>
      </w:r>
    </w:p>
  </w:footnote>
  <w:footnote w:id="1">
    <w:p w:rsidR="00605698" w:rsidRDefault="00605698">
      <w:pPr>
        <w:pStyle w:val="ad"/>
      </w:pPr>
      <w:r w:rsidRPr="00B9454D">
        <w:rPr>
          <w:rStyle w:val="af"/>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605698" w:rsidRDefault="00605698" w:rsidP="00852022">
      <w:pPr>
        <w:pStyle w:val="ad"/>
      </w:pPr>
      <w:r w:rsidRPr="00A93A5A">
        <w:rPr>
          <w:rStyle w:val="af"/>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605698" w:rsidRDefault="00605698">
      <w:pPr>
        <w:pStyle w:val="ad"/>
      </w:pPr>
      <w:r w:rsidRPr="002D3D66">
        <w:rPr>
          <w:rStyle w:val="af"/>
          <w:rFonts w:ascii="Times New Roman" w:hAnsi="Times New Roman"/>
        </w:rPr>
        <w:footnoteRef/>
      </w:r>
      <w:r w:rsidRPr="002D3D66">
        <w:rPr>
          <w:rFonts w:ascii="Times New Roman" w:hAnsi="Times New Roman"/>
        </w:rPr>
        <w:t xml:space="preserve"> Пункт 5 Типового положения</w:t>
      </w:r>
    </w:p>
  </w:footnote>
  <w:footnote w:id="4">
    <w:p w:rsidR="00605698" w:rsidRDefault="00605698">
      <w:pPr>
        <w:pStyle w:val="ad"/>
      </w:pPr>
      <w:r w:rsidRPr="002D3D66">
        <w:rPr>
          <w:rStyle w:val="af"/>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605698" w:rsidRDefault="00605698">
      <w:pPr>
        <w:pStyle w:val="ad"/>
      </w:pPr>
      <w:r>
        <w:rPr>
          <w:rStyle w:val="af"/>
        </w:rPr>
        <w:footnoteRef/>
      </w:r>
      <w:r>
        <w:t xml:space="preserve"> </w:t>
      </w:r>
      <w:r w:rsidRPr="002D3D66">
        <w:rPr>
          <w:rFonts w:ascii="Times New Roman" w:hAnsi="Times New Roman"/>
        </w:rPr>
        <w:t>Пункт 5 Типового положения</w:t>
      </w:r>
    </w:p>
  </w:footnote>
  <w:footnote w:id="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605698" w:rsidRDefault="00605698">
      <w:pPr>
        <w:pStyle w:val="ad"/>
      </w:pPr>
      <w:r w:rsidRPr="00847226">
        <w:rPr>
          <w:rStyle w:val="af"/>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605698" w:rsidRDefault="00605698" w:rsidP="004552D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605698" w:rsidRDefault="00605698">
      <w:pPr>
        <w:pStyle w:val="ad"/>
      </w:pPr>
      <w:r w:rsidRPr="004552D8">
        <w:rPr>
          <w:rStyle w:val="af"/>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605698" w:rsidRDefault="00605698">
      <w:pPr>
        <w:pStyle w:val="ad"/>
      </w:pPr>
      <w:r>
        <w:rPr>
          <w:rStyle w:val="af"/>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98" w:rsidRDefault="00605698" w:rsidP="00C215C7">
    <w:pPr>
      <w:pStyle w:val="a4"/>
      <w:jc w:val="center"/>
    </w:pPr>
    <w:r w:rsidRPr="006328E6">
      <w:rPr>
        <w:rFonts w:ascii="Times New Roman" w:hAnsi="Times New Roman"/>
        <w:sz w:val="28"/>
        <w:szCs w:val="28"/>
      </w:rPr>
      <w:fldChar w:fldCharType="begin"/>
    </w:r>
    <w:r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sidR="00275BE8">
      <w:rPr>
        <w:rFonts w:ascii="Times New Roman" w:hAnsi="Times New Roman"/>
        <w:noProof/>
        <w:sz w:val="28"/>
        <w:szCs w:val="28"/>
      </w:rPr>
      <w:t>14</w:t>
    </w:r>
    <w:r w:rsidRPr="006328E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75BE8"/>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542D"/>
    <w:rsid w:val="005E764F"/>
    <w:rsid w:val="005F0726"/>
    <w:rsid w:val="005F4801"/>
    <w:rsid w:val="00604C0D"/>
    <w:rsid w:val="00605698"/>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0361"/>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27A1"/>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65198"/>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4FC0"/>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sz w:val="20"/>
      <w:szCs w:val="20"/>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sz w:val="20"/>
      <w:szCs w:val="20"/>
    </w:rPr>
  </w:style>
  <w:style w:type="table" w:styleId="a3">
    <w:name w:val="Table Grid"/>
    <w:basedOn w:val="a1"/>
    <w:uiPriority w:val="99"/>
    <w:rsid w:val="00E14A54"/>
    <w:pPr>
      <w:spacing w:line="360" w:lineRule="atLeast"/>
    </w:pPr>
    <w:rPr>
      <w:rFonts w:ascii="Times New Roman CYR" w:hAnsi="Times New Roman CY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0BF3"/>
    <w:pPr>
      <w:tabs>
        <w:tab w:val="center" w:pos="4677"/>
        <w:tab w:val="right" w:pos="9355"/>
      </w:tabs>
    </w:pPr>
  </w:style>
  <w:style w:type="character" w:customStyle="1" w:styleId="a5">
    <w:name w:val="Верхний колонтитул Знак"/>
    <w:basedOn w:val="a0"/>
    <w:link w:val="a4"/>
    <w:uiPriority w:val="99"/>
    <w:locked/>
    <w:rsid w:val="00020BF3"/>
    <w:rPr>
      <w:rFonts w:cs="Times New Roman"/>
    </w:rPr>
  </w:style>
  <w:style w:type="paragraph" w:styleId="a6">
    <w:name w:val="footer"/>
    <w:basedOn w:val="a"/>
    <w:link w:val="a7"/>
    <w:uiPriority w:val="99"/>
    <w:semiHidden/>
    <w:rsid w:val="00020BF3"/>
    <w:pPr>
      <w:tabs>
        <w:tab w:val="center" w:pos="4677"/>
        <w:tab w:val="right" w:pos="9355"/>
      </w:tabs>
    </w:pPr>
  </w:style>
  <w:style w:type="character" w:customStyle="1" w:styleId="a7">
    <w:name w:val="Нижний колонтитул Знак"/>
    <w:basedOn w:val="a0"/>
    <w:link w:val="a6"/>
    <w:uiPriority w:val="99"/>
    <w:semiHidden/>
    <w:locked/>
    <w:rsid w:val="00020BF3"/>
    <w:rPr>
      <w:rFonts w:cs="Times New Roman"/>
    </w:rPr>
  </w:style>
  <w:style w:type="paragraph" w:styleId="a8">
    <w:name w:val="Document Map"/>
    <w:basedOn w:val="a"/>
    <w:link w:val="a9"/>
    <w:uiPriority w:val="99"/>
    <w:semiHidden/>
    <w:rsid w:val="004F340B"/>
    <w:rPr>
      <w:rFonts w:ascii="Tahoma" w:hAnsi="Tahoma" w:cs="Tahoma"/>
      <w:sz w:val="16"/>
      <w:szCs w:val="16"/>
    </w:rPr>
  </w:style>
  <w:style w:type="character" w:customStyle="1" w:styleId="a9">
    <w:name w:val="Схема документа Знак"/>
    <w:basedOn w:val="a0"/>
    <w:link w:val="a8"/>
    <w:uiPriority w:val="99"/>
    <w:semiHidden/>
    <w:locked/>
    <w:rsid w:val="004F340B"/>
    <w:rPr>
      <w:rFonts w:ascii="Tahoma" w:hAnsi="Tahoma" w:cs="Tahoma"/>
      <w:sz w:val="16"/>
      <w:szCs w:val="16"/>
    </w:rPr>
  </w:style>
  <w:style w:type="paragraph" w:customStyle="1" w:styleId="western">
    <w:name w:val="western"/>
    <w:basedOn w:val="a"/>
    <w:uiPriority w:val="99"/>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BB096B"/>
    <w:rPr>
      <w:rFonts w:ascii="Tahoma" w:hAnsi="Tahoma" w:cs="Tahoma"/>
      <w:sz w:val="16"/>
      <w:szCs w:val="16"/>
    </w:rPr>
  </w:style>
  <w:style w:type="character" w:customStyle="1" w:styleId="ac">
    <w:name w:val="Текст выноски Знак"/>
    <w:basedOn w:val="a0"/>
    <w:link w:val="ab"/>
    <w:uiPriority w:val="99"/>
    <w:semiHidden/>
    <w:locked/>
    <w:rsid w:val="00BB096B"/>
    <w:rPr>
      <w:rFonts w:ascii="Tahoma" w:hAnsi="Tahoma" w:cs="Tahoma"/>
      <w:sz w:val="16"/>
      <w:szCs w:val="16"/>
    </w:rPr>
  </w:style>
  <w:style w:type="paragraph" w:styleId="ad">
    <w:name w:val="footnote text"/>
    <w:basedOn w:val="a"/>
    <w:link w:val="ae"/>
    <w:uiPriority w:val="99"/>
    <w:semiHidden/>
    <w:rsid w:val="00A93A5A"/>
    <w:rPr>
      <w:sz w:val="20"/>
      <w:szCs w:val="20"/>
    </w:rPr>
  </w:style>
  <w:style w:type="character" w:customStyle="1" w:styleId="ae">
    <w:name w:val="Текст сноски Знак"/>
    <w:basedOn w:val="a0"/>
    <w:link w:val="ad"/>
    <w:uiPriority w:val="99"/>
    <w:semiHidden/>
    <w:locked/>
    <w:rsid w:val="00A93A5A"/>
    <w:rPr>
      <w:rFonts w:cs="Times New Roman"/>
      <w:sz w:val="20"/>
      <w:szCs w:val="20"/>
    </w:rPr>
  </w:style>
  <w:style w:type="character" w:styleId="af">
    <w:name w:val="footnote reference"/>
    <w:basedOn w:val="a0"/>
    <w:uiPriority w:val="99"/>
    <w:semiHidden/>
    <w:rsid w:val="00A93A5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sz w:val="20"/>
      <w:szCs w:val="20"/>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sz w:val="20"/>
      <w:szCs w:val="20"/>
    </w:rPr>
  </w:style>
  <w:style w:type="table" w:styleId="a3">
    <w:name w:val="Table Grid"/>
    <w:basedOn w:val="a1"/>
    <w:uiPriority w:val="99"/>
    <w:rsid w:val="00E14A54"/>
    <w:pPr>
      <w:spacing w:line="360" w:lineRule="atLeast"/>
    </w:pPr>
    <w:rPr>
      <w:rFonts w:ascii="Times New Roman CYR" w:hAnsi="Times New Roman CY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0BF3"/>
    <w:pPr>
      <w:tabs>
        <w:tab w:val="center" w:pos="4677"/>
        <w:tab w:val="right" w:pos="9355"/>
      </w:tabs>
    </w:pPr>
  </w:style>
  <w:style w:type="character" w:customStyle="1" w:styleId="a5">
    <w:name w:val="Верхний колонтитул Знак"/>
    <w:basedOn w:val="a0"/>
    <w:link w:val="a4"/>
    <w:uiPriority w:val="99"/>
    <w:locked/>
    <w:rsid w:val="00020BF3"/>
    <w:rPr>
      <w:rFonts w:cs="Times New Roman"/>
    </w:rPr>
  </w:style>
  <w:style w:type="paragraph" w:styleId="a6">
    <w:name w:val="footer"/>
    <w:basedOn w:val="a"/>
    <w:link w:val="a7"/>
    <w:uiPriority w:val="99"/>
    <w:semiHidden/>
    <w:rsid w:val="00020BF3"/>
    <w:pPr>
      <w:tabs>
        <w:tab w:val="center" w:pos="4677"/>
        <w:tab w:val="right" w:pos="9355"/>
      </w:tabs>
    </w:pPr>
  </w:style>
  <w:style w:type="character" w:customStyle="1" w:styleId="a7">
    <w:name w:val="Нижний колонтитул Знак"/>
    <w:basedOn w:val="a0"/>
    <w:link w:val="a6"/>
    <w:uiPriority w:val="99"/>
    <w:semiHidden/>
    <w:locked/>
    <w:rsid w:val="00020BF3"/>
    <w:rPr>
      <w:rFonts w:cs="Times New Roman"/>
    </w:rPr>
  </w:style>
  <w:style w:type="paragraph" w:styleId="a8">
    <w:name w:val="Document Map"/>
    <w:basedOn w:val="a"/>
    <w:link w:val="a9"/>
    <w:uiPriority w:val="99"/>
    <w:semiHidden/>
    <w:rsid w:val="004F340B"/>
    <w:rPr>
      <w:rFonts w:ascii="Tahoma" w:hAnsi="Tahoma" w:cs="Tahoma"/>
      <w:sz w:val="16"/>
      <w:szCs w:val="16"/>
    </w:rPr>
  </w:style>
  <w:style w:type="character" w:customStyle="1" w:styleId="a9">
    <w:name w:val="Схема документа Знак"/>
    <w:basedOn w:val="a0"/>
    <w:link w:val="a8"/>
    <w:uiPriority w:val="99"/>
    <w:semiHidden/>
    <w:locked/>
    <w:rsid w:val="004F340B"/>
    <w:rPr>
      <w:rFonts w:ascii="Tahoma" w:hAnsi="Tahoma" w:cs="Tahoma"/>
      <w:sz w:val="16"/>
      <w:szCs w:val="16"/>
    </w:rPr>
  </w:style>
  <w:style w:type="paragraph" w:customStyle="1" w:styleId="western">
    <w:name w:val="western"/>
    <w:basedOn w:val="a"/>
    <w:uiPriority w:val="99"/>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BB096B"/>
    <w:rPr>
      <w:rFonts w:ascii="Tahoma" w:hAnsi="Tahoma" w:cs="Tahoma"/>
      <w:sz w:val="16"/>
      <w:szCs w:val="16"/>
    </w:rPr>
  </w:style>
  <w:style w:type="character" w:customStyle="1" w:styleId="ac">
    <w:name w:val="Текст выноски Знак"/>
    <w:basedOn w:val="a0"/>
    <w:link w:val="ab"/>
    <w:uiPriority w:val="99"/>
    <w:semiHidden/>
    <w:locked/>
    <w:rsid w:val="00BB096B"/>
    <w:rPr>
      <w:rFonts w:ascii="Tahoma" w:hAnsi="Tahoma" w:cs="Tahoma"/>
      <w:sz w:val="16"/>
      <w:szCs w:val="16"/>
    </w:rPr>
  </w:style>
  <w:style w:type="paragraph" w:styleId="ad">
    <w:name w:val="footnote text"/>
    <w:basedOn w:val="a"/>
    <w:link w:val="ae"/>
    <w:uiPriority w:val="99"/>
    <w:semiHidden/>
    <w:rsid w:val="00A93A5A"/>
    <w:rPr>
      <w:sz w:val="20"/>
      <w:szCs w:val="20"/>
    </w:rPr>
  </w:style>
  <w:style w:type="character" w:customStyle="1" w:styleId="ae">
    <w:name w:val="Текст сноски Знак"/>
    <w:basedOn w:val="a0"/>
    <w:link w:val="ad"/>
    <w:uiPriority w:val="99"/>
    <w:semiHidden/>
    <w:locked/>
    <w:rsid w:val="00A93A5A"/>
    <w:rPr>
      <w:rFonts w:cs="Times New Roman"/>
      <w:sz w:val="20"/>
      <w:szCs w:val="20"/>
    </w:rPr>
  </w:style>
  <w:style w:type="character" w:styleId="af">
    <w:name w:val="footnote reference"/>
    <w:basedOn w:val="a0"/>
    <w:uiPriority w:val="99"/>
    <w:semiHidden/>
    <w:rsid w:val="00A93A5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 Windows</cp:lastModifiedBy>
  <cp:revision>2</cp:revision>
  <cp:lastPrinted>2020-02-13T08:41:00Z</cp:lastPrinted>
  <dcterms:created xsi:type="dcterms:W3CDTF">2020-07-08T08:32:00Z</dcterms:created>
  <dcterms:modified xsi:type="dcterms:W3CDTF">2020-07-08T08:32:00Z</dcterms:modified>
</cp:coreProperties>
</file>